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>3/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13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val="ru-RU" w:eastAsia="en-US"/>
        </w:rPr>
        <w:t>О внесении изменений в п</w:t>
      </w:r>
      <w:r>
        <w:rPr>
          <w:rFonts w:eastAsia="Calibri" w:cs="PT Astra Serif" w:ascii="PT Astra Serif" w:hAnsi="PT Astra Serif"/>
          <w:b/>
          <w:bCs/>
          <w:spacing w:val="2"/>
          <w:sz w:val="28"/>
          <w:szCs w:val="28"/>
          <w:lang w:val="ru-RU" w:eastAsia="en-US"/>
        </w:rPr>
        <w:t xml:space="preserve">остановление Правительства Ульяновской области от 19.08.2019 № 400-П 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val="ru-RU" w:eastAsia="en-US"/>
        </w:rPr>
        <w:t xml:space="preserve">и </w:t>
      </w:r>
      <w:r>
        <w:rPr>
          <w:rFonts w:eastAsia="Calibri" w:cs="PT Astra Serif" w:ascii="PT Astra Serif" w:hAnsi="PT Astra Serif" w:eastAsiaTheme="minorHAnsi"/>
          <w:b/>
          <w:bCs/>
          <w:spacing w:val="2"/>
          <w:sz w:val="28"/>
          <w:szCs w:val="28"/>
          <w:lang w:val="ru-RU" w:eastAsia="en-US"/>
        </w:rPr>
        <w:t xml:space="preserve">признании утратившим силу отдельного положения постановления </w:t>
      </w:r>
      <w:r>
        <w:rPr>
          <w:rFonts w:eastAsia="" w:cs="PT Astra Serif" w:ascii="PT Astra Serif" w:hAnsi="PT Astra Serif" w:eastAsiaTheme="minorHAnsi"/>
          <w:b/>
          <w:bCs/>
          <w:spacing w:val="2"/>
          <w:sz w:val="28"/>
          <w:szCs w:val="28"/>
          <w:lang w:val="ru-RU" w:eastAsia="en-US"/>
        </w:rPr>
        <w:t>Правительства Ульяновской области</w:t>
        <w:br/>
        <w:t>от 21.07.2020 № 382-П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  <w:lang w:val="ru-RU"/>
        </w:rPr>
        <w:t xml:space="preserve"> ма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остановление Правительства Ульяновской области от 19.08.2019 № 400-П 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и </w:t>
      </w:r>
      <w:r>
        <w:rPr>
          <w:rFonts w:eastAsia="Calibri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признании утратившим силу отдельного положения постановления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Правительства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val="ru-RU" w:eastAsia="en-US"/>
        </w:rPr>
        <w:t>Ульяновской области от 21.07.2020 № 382-П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разработан  целях приведения постановления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Правительства Ульяновской области от 19.08.2019 № 400-П «Об утверждении Правил предоставления гранта в форме субсидии из областного бюджета Ульяновской области некоммерческой организации, реализующей</w:t>
        <w:br/>
        <w:t>на территории Ульяновской области проект по информационно-консультационному сопровождению развития садоводства» в соответствие</w:t>
        <w:br/>
        <w:t>с постановлением Правительства Российской Федерации</w:t>
        <w:br/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Application>LibreOffice/6.4.6.2$Linux_X86_64 LibreOffice_project/40$Build-2</Application>
  <Pages>1</Pages>
  <Words>278</Words>
  <Characters>2225</Characters>
  <CharactersWithSpaces>2535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2021-05-13T13:48:58Z</cp:lastPrinted>
  <dcterms:modified xsi:type="dcterms:W3CDTF">2021-05-13T14:15:29Z</dcterms:modified>
  <cp:revision>61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